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1" w:rsidRPr="00D44921" w:rsidRDefault="00D44921" w:rsidP="00D4492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п. Дубовая роща, ул. Октябрьская, 10</w:t>
      </w:r>
    </w:p>
    <w:p w:rsidR="00D44921" w:rsidRPr="00D44921" w:rsidRDefault="00D44921" w:rsidP="00D4492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D44921" w:rsidRPr="00D44921" w:rsidRDefault="00D44921" w:rsidP="00D4492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2009                Количество этажей – 14</w:t>
      </w:r>
    </w:p>
    <w:p w:rsidR="00D44921" w:rsidRPr="00D44921" w:rsidRDefault="00D44921" w:rsidP="00D4492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лифтов -</w:t>
      </w:r>
      <w:r w:rsidR="0005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Количество квартир – 182</w:t>
      </w:r>
    </w:p>
    <w:p w:rsidR="00D44921" w:rsidRPr="00D44921" w:rsidRDefault="00D44921" w:rsidP="00D4492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дома – </w:t>
      </w:r>
      <w:r w:rsidR="006B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12019,30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proofErr w:type="gramStart"/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</w:p>
    <w:p w:rsidR="00D44921" w:rsidRPr="00D44921" w:rsidRDefault="00D44921" w:rsidP="00D4492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4921" w:rsidRPr="00D44921" w:rsidRDefault="00D44921" w:rsidP="00D4492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ED2B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Start"/>
      <w:r w:rsidRPr="00D44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ED2B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gramEnd"/>
      <w:r w:rsidR="00ED2B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заключительный на 30.11.2015)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ED2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D44921" w:rsidRPr="00D44921" w:rsidRDefault="00D44921" w:rsidP="00D4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учета, согласно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013"/>
        <w:gridCol w:w="1134"/>
        <w:gridCol w:w="992"/>
        <w:gridCol w:w="1172"/>
        <w:gridCol w:w="1376"/>
        <w:gridCol w:w="1138"/>
        <w:gridCol w:w="992"/>
      </w:tblGrid>
      <w:tr w:rsidR="00D44921" w:rsidRPr="00D44921" w:rsidTr="008556F6">
        <w:trPr>
          <w:trHeight w:val="1050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услуг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Задолж-ть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</w:t>
            </w:r>
            <w:r w:rsidR="008556F6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(01.01.2015-30.11.2015)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8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собственников перед УК на </w:t>
            </w:r>
            <w:r w:rsidR="008556F6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8556F6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8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собственников перед УК  за 20</w:t>
            </w:r>
            <w:r w:rsidR="008556F6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на 31.03.20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</w:t>
            </w:r>
            <w:r w:rsidR="00CE1534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D44921" w:rsidRPr="00421F9D" w:rsidRDefault="00D44921" w:rsidP="008556F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УО перед РСО на </w:t>
            </w:r>
            <w:r w:rsidR="008556F6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21F9D" w:rsidRDefault="00D44921" w:rsidP="00ED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УО перед РСО за 20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31.03.20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D44921" w:rsidRPr="00D44921" w:rsidTr="008556F6">
        <w:trPr>
          <w:trHeight w:val="325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BCC" w:rsidRPr="00421F9D" w:rsidRDefault="00D44921" w:rsidP="00ED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01.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ED2BCC"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21" w:rsidRPr="00421F9D" w:rsidRDefault="00D44921" w:rsidP="00D4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1F9D" w:rsidRPr="00D44921" w:rsidTr="00421F9D">
        <w:trPr>
          <w:trHeight w:val="40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bCs/>
                <w:sz w:val="16"/>
                <w:szCs w:val="16"/>
              </w:rPr>
              <w:t>181000,66</w:t>
            </w:r>
          </w:p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bCs/>
                <w:sz w:val="16"/>
                <w:szCs w:val="16"/>
              </w:rPr>
              <w:t>615307,95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536333,07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259975,54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252013,63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145288,37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21F9D" w:rsidRPr="00D44921" w:rsidTr="00421F9D">
        <w:trPr>
          <w:trHeight w:val="36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400890,57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1368646,28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1176111,65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593425,20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575251,20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331638,05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21F9D" w:rsidRPr="00D44921" w:rsidTr="00421F9D">
        <w:trPr>
          <w:trHeight w:val="40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bCs/>
                <w:sz w:val="16"/>
                <w:szCs w:val="16"/>
              </w:rPr>
              <w:t>734539,45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bCs/>
                <w:sz w:val="16"/>
                <w:szCs w:val="16"/>
              </w:rPr>
              <w:t>1899127,13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2016400,01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617266,57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598362,41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344961,89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21F9D" w:rsidRPr="00D44921" w:rsidTr="00421F9D">
        <w:trPr>
          <w:trHeight w:val="407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bCs/>
                <w:sz w:val="16"/>
                <w:szCs w:val="16"/>
              </w:rPr>
              <w:t>2350903,54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bCs/>
                <w:sz w:val="16"/>
                <w:szCs w:val="16"/>
              </w:rPr>
              <w:t>4759642,80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4617207,40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2493338,94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2416978,95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1F9D" w:rsidRPr="00D44921" w:rsidTr="00421F9D">
        <w:trPr>
          <w:trHeight w:val="411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91495,50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323943,20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279693,05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135745,65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131588,36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75862,00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21F9D" w:rsidRPr="00D44921" w:rsidTr="00421F9D">
        <w:trPr>
          <w:trHeight w:val="51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396382,86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1485200,48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1399154,88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482428,46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467653,80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269607,07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21F9D" w:rsidRPr="00D44921" w:rsidTr="00421F9D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F9D" w:rsidRPr="00421F9D" w:rsidRDefault="00421F9D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3150762,39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9973710,76</w:t>
            </w:r>
          </w:p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8969260,57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4582180,36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4441848,35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9D">
              <w:rPr>
                <w:rFonts w:ascii="Times New Roman" w:hAnsi="Times New Roman" w:cs="Times New Roman"/>
                <w:sz w:val="16"/>
                <w:szCs w:val="16"/>
              </w:rPr>
              <w:t>2560769,82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F9D" w:rsidRPr="00421F9D" w:rsidRDefault="00421F9D" w:rsidP="004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44921" w:rsidRPr="00D44921" w:rsidRDefault="00D44921" w:rsidP="00D4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4921" w:rsidRPr="00D44921" w:rsidRDefault="00D44921" w:rsidP="00D4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Общая задолженность Собственников по оплате потребленных ресурсов на 31.12.20</w:t>
      </w:r>
      <w:r w:rsidR="0042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1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3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4 582 180,36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Задолженность УО перед РСО на 31.12.20</w:t>
      </w:r>
      <w:r w:rsidR="0042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93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2 560 769,82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3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4 441 848,35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20</w:t>
      </w:r>
      <w:r w:rsidR="003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состоянию на 31.03.</w:t>
      </w:r>
      <w:r w:rsidR="00C1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полностью погасить задолженность за прошлые периоды перед поставщиками коммунальных услуг</w:t>
      </w:r>
      <w:r w:rsidR="00A3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заемных средств</w:t>
      </w:r>
      <w:r w:rsidR="00A371C2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внимание, что Законодательство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</w:t>
      </w:r>
      <w:r w:rsidR="003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2C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 w:rsidR="0093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(собственников)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3C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гораздо </w:t>
      </w:r>
      <w:r w:rsidR="0052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показателей прошлого года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21" w:rsidRPr="00D44921" w:rsidRDefault="00EC0BDF" w:rsidP="00D449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</w:t>
      </w:r>
      <w:r w:rsidR="00D44921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своевременной оплате коммунальных услуг собственник</w:t>
      </w:r>
      <w:r w:rsidR="002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44921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УО гарантирует выполнение работ качественно и в срок.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4921" w:rsidRPr="00D44921" w:rsidRDefault="00D44921" w:rsidP="00D44921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содержание и ремонт в 20</w:t>
      </w:r>
      <w:r w:rsidR="003C0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520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167"/>
        <w:gridCol w:w="1385"/>
        <w:gridCol w:w="1275"/>
        <w:gridCol w:w="1577"/>
      </w:tblGrid>
      <w:tr w:rsidR="00D44921" w:rsidRPr="00D44921" w:rsidTr="00D44921">
        <w:trPr>
          <w:trHeight w:val="414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Планово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AC4DE1" w:rsidRPr="00D44921" w:rsidTr="00AC4DE1">
        <w:trPr>
          <w:trHeight w:val="49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тарифу начислено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4 898 883,50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4 759 642,80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-139 240,70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67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 тарифа на содержание и ремонт общего имущества МКД</w:t>
            </w:r>
          </w:p>
        </w:tc>
      </w:tr>
      <w:tr w:rsidR="00AC4DE1" w:rsidRPr="00D44921" w:rsidTr="00AC4DE1">
        <w:trPr>
          <w:trHeight w:val="81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израсходовано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4 777 284,23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4 723 579,09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-53 705,14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AF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по оптимизации затрат</w:t>
            </w:r>
          </w:p>
        </w:tc>
      </w:tr>
      <w:tr w:rsidR="00AC4DE1" w:rsidRPr="00D44921" w:rsidTr="00AC4DE1">
        <w:trPr>
          <w:trHeight w:val="34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698 000,84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690 191,11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-7 809,73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40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26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Мусор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340 000,34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2 999,66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30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1074D0" w:rsidRDefault="00AC4DE1" w:rsidP="0084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625 100,58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625 160,00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59,42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71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Обслуживание системы </w:t>
            </w:r>
            <w:proofErr w:type="spellStart"/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Аскуэ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94 258,54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90 719,97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-3 538,57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6844B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жилого помещения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1 601 437,34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1 602 679,94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1 242,60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Содержание мест общего пользования, в </w:t>
            </w:r>
            <w:proofErr w:type="spellStart"/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259 600,00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196 825,00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51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455 825,60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395 525,18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294 904,15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26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219 938,54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223 413,57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3 475,03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1C90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C90" w:rsidRPr="00D44921" w:rsidRDefault="004B1C9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Паспортный стол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90" w:rsidRPr="00AC4DE1" w:rsidRDefault="004B1C90" w:rsidP="001B2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58 892,50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90" w:rsidRPr="00AC4DE1" w:rsidRDefault="004B1C90" w:rsidP="001B2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50 553,32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90" w:rsidRPr="00AC4DE1" w:rsidRDefault="004B1C90" w:rsidP="001B2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-8 339,18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C90" w:rsidRPr="00D44921" w:rsidRDefault="004B1C9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1C90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C90" w:rsidRPr="00D44921" w:rsidRDefault="004B1C90" w:rsidP="0026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Управленческие  расходы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90" w:rsidRPr="00AC4DE1" w:rsidRDefault="004B1C90" w:rsidP="001B2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718 062,11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90" w:rsidRPr="00AC4DE1" w:rsidRDefault="004B1C90" w:rsidP="001B2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652 000,40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90" w:rsidRPr="00AC4DE1" w:rsidRDefault="004B1C90" w:rsidP="001B2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-66 061,71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C90" w:rsidRPr="00D44921" w:rsidRDefault="004B1C9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Расчетный отдел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277 703,58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312 138,82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34 435,24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Текущий ремонт, в </w:t>
            </w:r>
            <w:proofErr w:type="spellStart"/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109 343,48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97 452,16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-11 891,32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Придомовая территория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Внутридомовое инженерное оборудование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Конструктивные элементы жилого здания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97 452,16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4DE1" w:rsidRPr="00D44921" w:rsidTr="00AC4DE1">
        <w:trPr>
          <w:trHeight w:val="255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Аварийно-вос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r w:rsidRPr="00D449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тановительные работы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34 546,38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36 269,80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1" w:rsidRPr="00AC4DE1" w:rsidRDefault="00AC4DE1" w:rsidP="00AC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DE1">
              <w:rPr>
                <w:rFonts w:ascii="Times New Roman" w:hAnsi="Times New Roman" w:cs="Times New Roman"/>
                <w:sz w:val="16"/>
                <w:szCs w:val="16"/>
              </w:rPr>
              <w:t>1 723,42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1" w:rsidRPr="00D44921" w:rsidRDefault="00AC4DE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D44921" w:rsidRPr="00D44921" w:rsidRDefault="00D44921" w:rsidP="004B1C9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038" w:rsidRDefault="00672038" w:rsidP="0066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начислений за содержание и ремонт общего имущества МКД в </w:t>
      </w:r>
      <w:r w:rsidR="00AC4DE1" w:rsidRP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</w:t>
      </w:r>
      <w:r w:rsidR="00AC4DE1" w:rsidRPr="00AC4DE1">
        <w:rPr>
          <w:rFonts w:ascii="Times New Roman" w:hAnsi="Times New Roman" w:cs="Times New Roman"/>
          <w:sz w:val="28"/>
          <w:szCs w:val="28"/>
        </w:rPr>
        <w:t>4 759 642,80</w:t>
      </w:r>
      <w:r w:rsidRP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затраты на содержание и ремонт составили </w:t>
      </w:r>
      <w:r w:rsidR="00AC4DE1" w:rsidRPr="00AC4DE1">
        <w:rPr>
          <w:rFonts w:ascii="Times New Roman" w:hAnsi="Times New Roman" w:cs="Times New Roman"/>
          <w:sz w:val="28"/>
          <w:szCs w:val="28"/>
        </w:rPr>
        <w:t>4 723 579,09</w:t>
      </w:r>
      <w:r w:rsidR="00860004" w:rsidRP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86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Рентабельность в 2015 году составила 0,76%, что </w:t>
      </w:r>
      <w:r w:rsid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ниже запланированного уровня на 4,24%. </w:t>
      </w:r>
      <w:r w:rsidR="0086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факт связан с отсутствием решения собственников о тарифе на содержание и ремонт с 01.07.20</w:t>
      </w:r>
      <w:r w:rsid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6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предложенной калькуляцией</w:t>
      </w:r>
      <w:proofErr w:type="gramEnd"/>
      <w:r w:rsidR="00A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УО</w:t>
      </w:r>
      <w:r w:rsidR="0086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21" w:rsidRPr="00847862" w:rsidRDefault="00D44921" w:rsidP="00662CB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жильцов.</w:t>
      </w:r>
    </w:p>
    <w:p w:rsidR="00D44921" w:rsidRPr="00847862" w:rsidRDefault="00D44921" w:rsidP="00662CB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заявки распределились следующим образом: замена лампочек в </w:t>
      </w:r>
      <w:proofErr w:type="spellStart"/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приквартирных</w:t>
      </w:r>
      <w:proofErr w:type="spellEnd"/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холлах -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электроэнергии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напор воды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="002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холодные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батареи 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опломбировка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счетчиков-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течь стояков- 2, течь кранов -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холодные </w:t>
      </w:r>
      <w:proofErr w:type="spellStart"/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полотенцесушители</w:t>
      </w:r>
      <w:proofErr w:type="spellEnd"/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2CB2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тока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розетках -</w:t>
      </w:r>
      <w:r w:rsidR="00662CB2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засоров канализации-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2CB2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CB2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дверного полотна, </w:t>
      </w:r>
      <w:r w:rsidR="00CA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дверных ручек в холлах и на пожарных лестница</w:t>
      </w:r>
      <w:r w:rsidR="00662CB2"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–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proofErr w:type="gramEnd"/>
    </w:p>
    <w:p w:rsidR="00EB05A7" w:rsidRDefault="00EB05A7" w:rsidP="00EB0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специалистам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 Эксплуатация были произведены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снятия показаний индивидуальных приборов учета в размере </w:t>
      </w:r>
      <w:r w:rsidR="0012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квартир.</w:t>
      </w:r>
    </w:p>
    <w:p w:rsidR="00D44921" w:rsidRPr="00847862" w:rsidRDefault="00D44921" w:rsidP="00662CB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D44921" w:rsidRPr="00D44921" w:rsidRDefault="00D44921" w:rsidP="00662CB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от жильцов дома поступило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обращения. На все поступившие письма были даны ответы.</w:t>
      </w:r>
    </w:p>
    <w:p w:rsidR="00D44921" w:rsidRPr="00D44921" w:rsidRDefault="00D44921" w:rsidP="00662CB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консультаций. Основные вопросы касались начисления общедомовых расходов, необходимости их оплаты, согласования перепланировок помещений, возможности замены приборов отопления,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перерасчет начислений за коммунальные 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</w:t>
      </w:r>
      <w:proofErr w:type="gramStart"/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44921" w:rsidRPr="00D44921" w:rsidRDefault="00D44921" w:rsidP="00D4492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-систематический </w:t>
      </w:r>
      <w:proofErr w:type="spellStart"/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</w:t>
      </w:r>
      <w:proofErr w:type="spellEnd"/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должников, вынесение устных предупреждений</w:t>
      </w:r>
      <w:proofErr w:type="gramStart"/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44921" w:rsidRDefault="00D44921" w:rsidP="00D44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09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7A5" w:rsidRDefault="000957A5" w:rsidP="00095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уведомление собственников имеющих задолженность за период более 2-х месяцев,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отправлены телеграммы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шт.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с неплательщиков суммы задолженности производилось в судебном порядке.</w:t>
      </w:r>
    </w:p>
    <w:p w:rsidR="00D44921" w:rsidRPr="00D44921" w:rsidRDefault="00D44921" w:rsidP="00D4492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УО передано в суд 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5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восемнадцать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исковых заявлений на общую сумму долга </w:t>
      </w:r>
      <w:r w:rsidR="0026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2 543 31</w:t>
      </w:r>
      <w:r w:rsidR="0091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F9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Оплачено по результатам предсудебной работы – </w:t>
      </w:r>
      <w:r w:rsidR="00D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9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D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547 рублей. Оплачено по решению суда </w:t>
      </w:r>
      <w:r w:rsidR="00D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993 рубля.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исполнительные листы находятся на исполнении у судебных приставов</w:t>
      </w:r>
      <w:r w:rsidR="0026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суде.</w:t>
      </w:r>
      <w:bookmarkStart w:id="0" w:name="_GoBack"/>
      <w:bookmarkEnd w:id="0"/>
    </w:p>
    <w:p w:rsidR="008B51C2" w:rsidRDefault="00D44921" w:rsidP="008B5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4921" w:rsidRPr="00D44921" w:rsidRDefault="00D44921" w:rsidP="008B51C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D44921" w:rsidRPr="00D44921" w:rsidRDefault="00D44921" w:rsidP="00D449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D44921" w:rsidRPr="00D44921" w:rsidRDefault="00D44921" w:rsidP="00662CB2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коммунальным услугам – </w:t>
      </w:r>
      <w:r w:rsidR="0078501D" w:rsidRPr="00847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847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44921" w:rsidRPr="00D44921" w:rsidRDefault="00D44921" w:rsidP="00F926E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61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дома производились работы и услуги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105"/>
        <w:gridCol w:w="1235"/>
        <w:gridCol w:w="1396"/>
        <w:gridCol w:w="1738"/>
        <w:gridCol w:w="1465"/>
      </w:tblGrid>
      <w:tr w:rsidR="00D44921" w:rsidRPr="00D44921" w:rsidTr="00674D35">
        <w:trPr>
          <w:trHeight w:val="566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 (работ)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выполненных работ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по Законодательству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D44921" w:rsidRPr="00D44921" w:rsidTr="00674D35">
        <w:trPr>
          <w:trHeight w:val="36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921" w:rsidRPr="00D44921" w:rsidTr="00674D35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6C23D9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44921"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в неделю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4921" w:rsidRPr="00D44921" w:rsidTr="00674D35">
        <w:trPr>
          <w:trHeight w:val="67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D44921" w:rsidRPr="00D44921" w:rsidTr="00674D35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4921" w:rsidRPr="00D44921" w:rsidTr="00674D35">
        <w:trPr>
          <w:trHeight w:val="449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 w:rsidR="0061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</w:p>
        </w:tc>
      </w:tr>
      <w:tr w:rsidR="00D44921" w:rsidRPr="00D44921" w:rsidTr="00674D35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A61A0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"Озеленение"</w:t>
            </w:r>
          </w:p>
        </w:tc>
      </w:tr>
      <w:tr w:rsidR="00D44921" w:rsidRPr="00D44921" w:rsidTr="00674D35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пожарной сигнализации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921" w:rsidRPr="00D44921" w:rsidTr="00674D35">
        <w:trPr>
          <w:trHeight w:val="449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3124AA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="00312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 w:rsidR="00312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D44921" w:rsidRPr="00D44921" w:rsidTr="00674D35">
        <w:trPr>
          <w:trHeight w:val="449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6C6B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D44921"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 системы пожарной сигнализации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E633DC" w:rsidP="00D4492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8D0478" w:rsidRPr="00D44921" w:rsidTr="00674D35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78" w:rsidRPr="00D44921" w:rsidRDefault="008D047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78" w:rsidRPr="008D0478" w:rsidRDefault="008D047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78" w:rsidRPr="00D44921" w:rsidRDefault="008D047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78" w:rsidRPr="00D44921" w:rsidRDefault="008D047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78" w:rsidRPr="00D44921" w:rsidRDefault="008D047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78" w:rsidRPr="00D44921" w:rsidRDefault="008D047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D44921" w:rsidRPr="00D44921" w:rsidTr="00674D35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Система АСКУЭ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4AA" w:rsidRPr="00D44921" w:rsidTr="00847862">
        <w:trPr>
          <w:trHeight w:val="265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договору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AA" w:rsidRDefault="003124AA">
            <w:r w:rsidRPr="00FE2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E2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 w:rsidRPr="00FE2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Строй"</w:t>
            </w:r>
          </w:p>
        </w:tc>
      </w:tr>
      <w:tr w:rsidR="003124AA" w:rsidRPr="00D44921" w:rsidTr="00847862">
        <w:trPr>
          <w:trHeight w:val="30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4AA" w:rsidRPr="00D44921" w:rsidRDefault="003124A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раз в </w:t>
            </w: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AA" w:rsidRDefault="003124AA">
            <w:r w:rsidRPr="00FE2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E2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 w:rsidRPr="00FE2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Строй"</w:t>
            </w:r>
          </w:p>
        </w:tc>
      </w:tr>
      <w:tr w:rsidR="00D44921" w:rsidRPr="00D44921" w:rsidTr="00674D35">
        <w:trPr>
          <w:trHeight w:val="449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текущий 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921" w:rsidRPr="00D44921" w:rsidTr="00674D35">
        <w:trPr>
          <w:trHeight w:val="419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ламп, утилизация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404C40" w:rsidRDefault="00404C4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</w:tr>
      <w:tr w:rsidR="00D44921" w:rsidRPr="00D44921" w:rsidTr="00674D35">
        <w:trPr>
          <w:trHeight w:val="4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921" w:rsidRPr="00D44921" w:rsidTr="00674D35">
        <w:trPr>
          <w:trHeight w:val="337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внешней стороны фасада и установка маяков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1B2E9E" w:rsidRPr="00D44921" w:rsidTr="00674D35">
        <w:trPr>
          <w:trHeight w:val="337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E9E" w:rsidRPr="00D44921" w:rsidRDefault="001B2E9E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E9E" w:rsidRPr="00674D35" w:rsidRDefault="001B2E9E" w:rsidP="00D1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Герметизация </w:t>
            </w:r>
            <w:r w:rsidR="00D14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нарушенных элементов фасада дома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(работа капитального характера в полном объеме)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E9E" w:rsidRDefault="001B2E9E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E9E" w:rsidRDefault="001B2E9E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E9E" w:rsidRPr="00D44921" w:rsidRDefault="001B2E9E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E9E" w:rsidRPr="00D44921" w:rsidRDefault="001B2E9E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Кулибаба</w:t>
            </w:r>
            <w:proofErr w:type="spellEnd"/>
          </w:p>
        </w:tc>
      </w:tr>
      <w:tr w:rsidR="00674D35" w:rsidRPr="00D44921" w:rsidTr="00674D35">
        <w:trPr>
          <w:trHeight w:val="337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35" w:rsidRPr="00D44921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35" w:rsidRPr="00674D35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4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антивандальной решетки</w:t>
            </w:r>
            <w:r w:rsidR="00D14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замена замков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35" w:rsidRPr="00D44921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35" w:rsidRPr="00674D35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35" w:rsidRPr="00D44921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35" w:rsidRPr="00D44921" w:rsidRDefault="00674D3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256615" w:rsidRPr="00D44921" w:rsidTr="00674D35">
        <w:trPr>
          <w:trHeight w:val="44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5" w:rsidRPr="00D44921" w:rsidRDefault="0025661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5" w:rsidRPr="00256615" w:rsidRDefault="0025661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56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Устройство перегородки между домами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5" w:rsidRPr="00D44921" w:rsidRDefault="0025661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5" w:rsidRPr="00D44921" w:rsidRDefault="0025661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5" w:rsidRPr="00D44921" w:rsidRDefault="0025661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5" w:rsidRPr="00DB0820" w:rsidRDefault="00256615" w:rsidP="00E5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D44921" w:rsidRPr="00D44921" w:rsidTr="00674D35">
        <w:trPr>
          <w:trHeight w:val="44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Работа с населением</w:t>
            </w:r>
          </w:p>
          <w:p w:rsidR="00D44921" w:rsidRPr="00D44921" w:rsidRDefault="0018249C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B0820" w:rsidRDefault="00DB0820" w:rsidP="00E5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 w:rsidR="00E50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</w:t>
            </w:r>
            <w:r w:rsidR="00CE1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«Атлант-Право»</w:t>
            </w:r>
          </w:p>
        </w:tc>
      </w:tr>
    </w:tbl>
    <w:p w:rsidR="00674D35" w:rsidRDefault="00674D35" w:rsidP="00D4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921" w:rsidRPr="00D44921" w:rsidRDefault="00D44921" w:rsidP="00D4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D44921" w:rsidRPr="00D44921" w:rsidRDefault="00D44921" w:rsidP="00D44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91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r w:rsidRPr="00D4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3"/>
        <w:gridCol w:w="919"/>
        <w:gridCol w:w="1700"/>
        <w:gridCol w:w="1993"/>
      </w:tblGrid>
      <w:tr w:rsidR="00D44921" w:rsidRPr="00D44921" w:rsidTr="00B3351F">
        <w:trPr>
          <w:trHeight w:val="621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 (работ)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выполненных работ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по Законодательству</w:t>
            </w:r>
          </w:p>
        </w:tc>
      </w:tr>
      <w:tr w:rsidR="00D44921" w:rsidRPr="00D44921" w:rsidTr="00B3351F">
        <w:trPr>
          <w:trHeight w:val="47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55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мест общего пользования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 при мытье полов</w:t>
            </w:r>
          </w:p>
        </w:tc>
      </w:tr>
      <w:tr w:rsidR="00D44921" w:rsidRPr="00D44921" w:rsidTr="00B3351F">
        <w:trPr>
          <w:trHeight w:val="55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Подметание лестничных площадок и 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маршей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нижних трех этажей и кабин лифтов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  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</w:tr>
      <w:tr w:rsidR="00D44921" w:rsidRPr="00D44921" w:rsidTr="00B3351F">
        <w:trPr>
          <w:trHeight w:val="55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  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D44921" w:rsidRPr="00D44921" w:rsidTr="00B3351F">
        <w:trPr>
          <w:trHeight w:val="25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1 этажа и кабин лифтов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CE1BFC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44921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</w:tr>
      <w:tr w:rsidR="00D44921" w:rsidRPr="00D44921" w:rsidTr="00B3351F">
        <w:trPr>
          <w:trHeight w:val="41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во всех помещениях общего пользования  выше 1 этажа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  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D44921" w:rsidRPr="00D44921" w:rsidTr="00B3351F">
        <w:trPr>
          <w:trHeight w:val="46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B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подвального помещени</w:t>
            </w:r>
            <w:r w:rsidR="00B5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D44921" w:rsidRPr="00D44921" w:rsidTr="00B3351F">
        <w:trPr>
          <w:trHeight w:val="47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61DD9" w:rsidP="009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(обновление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="00D44921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аркировк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44921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этажей, пожарной лестницы и лифтового холла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год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961DD9" w:rsidRDefault="00961DD9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47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пружин на </w:t>
            </w: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межпереходные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двери балконов</w:t>
            </w:r>
            <w:r w:rsidR="00B3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ремонт дверей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40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стекол на </w:t>
            </w: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межпереходных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дверях балкона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5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ручек на </w:t>
            </w: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межпереходных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дверях балкона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26C8" w:rsidRPr="00D44921" w:rsidTr="00B3351F">
        <w:trPr>
          <w:trHeight w:val="38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C8" w:rsidRPr="00D44921" w:rsidRDefault="004F26C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C8" w:rsidRPr="004F26C8" w:rsidRDefault="004F26C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Замена и дополнительная установка </w:t>
            </w:r>
            <w:proofErr w:type="spellStart"/>
            <w:r w:rsidRPr="004F2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антискользящих</w:t>
            </w:r>
            <w:proofErr w:type="spellEnd"/>
            <w:r w:rsidRPr="004F2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реек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C8" w:rsidRPr="00D44921" w:rsidRDefault="004F26C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C8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C8" w:rsidRPr="00D44921" w:rsidRDefault="004F26C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921" w:rsidRPr="00D44921" w:rsidTr="00B3351F">
        <w:trPr>
          <w:trHeight w:val="38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6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D44921" w:rsidRPr="00D44921" w:rsidTr="00B3351F">
        <w:trPr>
          <w:trHeight w:val="33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Дератизация, содержание площадки ТБО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4A0FA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4A0FA0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</w:tr>
      <w:tr w:rsidR="00D44921" w:rsidRPr="00D44921" w:rsidTr="00B3351F">
        <w:trPr>
          <w:trHeight w:val="41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Противогололедная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придомовой территории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67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  в неделю</w:t>
            </w:r>
          </w:p>
        </w:tc>
      </w:tr>
      <w:tr w:rsidR="00D44921" w:rsidRPr="00D44921" w:rsidTr="00B3351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с газонов. Транспортировка мусора в установленное место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3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газонов от случайного мусора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неделю</w:t>
            </w:r>
          </w:p>
        </w:tc>
      </w:tr>
      <w:tr w:rsidR="00D44921" w:rsidRPr="00D44921" w:rsidTr="00B3351F">
        <w:trPr>
          <w:trHeight w:val="47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D44921" w:rsidRPr="00D44921" w:rsidTr="00B3351F">
        <w:trPr>
          <w:trHeight w:val="56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трое суток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наледи.  Скалывание наледи толщиной до 2 см. Сгребание скола в валы или кучи.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дни гололеда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дни гололеда</w:t>
            </w:r>
          </w:p>
        </w:tc>
      </w:tr>
      <w:tr w:rsidR="00D44921" w:rsidRPr="00D44921" w:rsidTr="00B3351F">
        <w:trPr>
          <w:trHeight w:val="48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Перепрограммирование реле времени (плафоны во дворе)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40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крыши и уборка от мусора с ливневых воронок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год</w:t>
            </w:r>
          </w:p>
        </w:tc>
      </w:tr>
      <w:tr w:rsidR="00D44921" w:rsidRPr="00D44921" w:rsidTr="00B3351F">
        <w:trPr>
          <w:trHeight w:val="27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урн для мусора (сварка, покраска)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32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дорожных </w:t>
            </w:r>
            <w:r w:rsidR="00DA567F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бордюров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5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Подсев травы на газонах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5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малых форм</w:t>
            </w:r>
            <w:r w:rsidR="004F2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(урны)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и текущий 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раза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раза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состояния креплений, подвесок и прокладок,</w:t>
            </w:r>
            <w:r w:rsidR="00674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подставок для магистрального трубопровода на чердаке, теплоизоляции.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раза в год</w:t>
            </w:r>
          </w:p>
        </w:tc>
      </w:tr>
      <w:tr w:rsidR="00D44921" w:rsidRPr="00D44921" w:rsidTr="00B3351F">
        <w:trPr>
          <w:trHeight w:val="46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раз в год</w:t>
            </w:r>
          </w:p>
        </w:tc>
      </w:tr>
      <w:tr w:rsidR="00D44921" w:rsidRPr="00D44921" w:rsidTr="00B3351F">
        <w:trPr>
          <w:trHeight w:val="26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работы теплосчетчика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работоспособности </w:t>
            </w: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водозапорной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арматуры (герметичность перекрытия потока).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26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осмотр ВРУ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6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задвижек  в подвале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год</w:t>
            </w:r>
          </w:p>
        </w:tc>
      </w:tr>
      <w:tr w:rsidR="00D44921" w:rsidRPr="00D44921" w:rsidTr="00B3351F">
        <w:trPr>
          <w:trHeight w:val="4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32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показаний электросчетчика квартиры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68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</w:t>
            </w: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44921" w:rsidRPr="00D44921" w:rsidTr="00B3351F">
        <w:trPr>
          <w:trHeight w:val="41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насоса для циркуляции воды на верхние этажи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</w:t>
            </w: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44921" w:rsidRPr="00D44921" w:rsidTr="00B3351F">
        <w:trPr>
          <w:trHeight w:val="26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вентиля трубопроводов ХВС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886D32" w:rsidP="0068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7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эл. патрона с плафонов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886D32" w:rsidP="0068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16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Ревизия эл. 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щитовых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886D32" w:rsidP="00D44921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4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</w:t>
            </w:r>
            <w:r w:rsidR="004F2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отопления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4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 отопления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33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Протяжка контактов в 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этажном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электрощитке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886D32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7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выключателя или розетки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9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7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регулирующих клапанов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522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85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88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территории вокруг здания, </w:t>
            </w:r>
            <w:r w:rsidR="00886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цоколя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раз в год</w:t>
            </w:r>
          </w:p>
        </w:tc>
      </w:tr>
      <w:tr w:rsidR="00D44921" w:rsidRPr="00D44921" w:rsidTr="00B3351F">
        <w:trPr>
          <w:trHeight w:val="94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Проверка заземления мачт и другого оборудования, расположенного над крышей. Проверка </w:t>
            </w:r>
            <w:proofErr w:type="spell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молниезащитных</w:t>
            </w:r>
            <w:proofErr w:type="spell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расположенных на крыше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раз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раз в год</w:t>
            </w:r>
          </w:p>
        </w:tc>
      </w:tr>
      <w:tr w:rsidR="00D44921" w:rsidRPr="00D44921" w:rsidTr="00B3351F">
        <w:trPr>
          <w:trHeight w:val="50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7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Определение 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работоспособности оборудования и элементов систем, отсутствия сверхдопустимых вибраций и шума при работе вентиляционной установки.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2A1AC3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D44921" w:rsidRPr="00D44921" w:rsidTr="00B3351F">
        <w:trPr>
          <w:trHeight w:val="60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2A1AC3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40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17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Навеска замка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6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подъездных дверей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6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металлических пластин на двери, вместо сломанных личинок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37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запорной арматуры тепловых пунктов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5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канализационных лежаков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6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запорной арматуры на водопроводе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F52E0F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39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</w:t>
            </w:r>
            <w:r w:rsidR="002A1AC3"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восстановительные</w:t>
            </w: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2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инженерного оборудования в квартире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66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трубопровода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8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38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(включение) стояков ХВС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ВС,ЦО после залива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9122BA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6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автоматического выключателя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7A4CE8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7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90DF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7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инженерными коммуникациями после восстановительных работ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4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трубопровода ГВС, ХВС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02044B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54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засоров </w:t>
            </w:r>
            <w:r w:rsidR="0002044B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внутренних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канализационных трубопроводов тросом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90DF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43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90DF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26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Откачка грунтовых вод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90DF5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D44921" w:rsidRPr="00D44921" w:rsidTr="00B3351F">
        <w:trPr>
          <w:trHeight w:val="40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паспортного стола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D44921" w:rsidRPr="00D44921" w:rsidTr="00B3351F">
        <w:trPr>
          <w:trHeight w:val="41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аварийн</w:t>
            </w:r>
            <w:proofErr w:type="gramStart"/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о-</w:t>
            </w:r>
            <w:proofErr w:type="gramEnd"/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диспетчерской службы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Круглосуточно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</w:t>
            </w:r>
          </w:p>
        </w:tc>
      </w:tr>
      <w:tr w:rsidR="00D44921" w:rsidRPr="00D44921" w:rsidTr="00B3351F">
        <w:trPr>
          <w:trHeight w:val="26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электриков АДС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44921" w:rsidRPr="00D44921" w:rsidTr="00B3351F">
        <w:trPr>
          <w:trHeight w:val="20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слесарей АД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44921" w:rsidRPr="00D44921" w:rsidTr="00B3351F">
        <w:trPr>
          <w:trHeight w:val="27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диспетчера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44921" w:rsidRPr="00D44921" w:rsidTr="00B3351F">
        <w:trPr>
          <w:trHeight w:val="27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населением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D44921" w:rsidRPr="00D44921" w:rsidTr="00B3351F">
        <w:trPr>
          <w:trHeight w:val="214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договоров, выдача справок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921" w:rsidRPr="00D44921" w:rsidRDefault="00D44921" w:rsidP="00D44921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921" w:rsidRPr="00D44921" w:rsidTr="00B3351F">
        <w:trPr>
          <w:trHeight w:val="27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льг</w:t>
            </w:r>
            <w:r w:rsidR="00590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отников, работа с неплательщиками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11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тех. условий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2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перепланировок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223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590A8C" w:rsidP="00590A8C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Помощь в </w:t>
            </w:r>
            <w:r w:rsidR="00D44921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D44921"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921" w:rsidRPr="00D44921" w:rsidTr="00B3351F">
        <w:trPr>
          <w:trHeight w:val="37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921" w:rsidRPr="00D44921" w:rsidRDefault="00D44921" w:rsidP="00D4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44921" w:rsidRPr="00D44921" w:rsidRDefault="00D44921" w:rsidP="00D44921">
      <w:pPr>
        <w:shd w:val="clear" w:color="auto" w:fill="FFFFFF"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2C4" w:rsidRDefault="007D12C4"/>
    <w:sectPr w:rsidR="007D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D"/>
    <w:rsid w:val="0002044B"/>
    <w:rsid w:val="00050345"/>
    <w:rsid w:val="0005715F"/>
    <w:rsid w:val="000957A5"/>
    <w:rsid w:val="001241E3"/>
    <w:rsid w:val="0018249C"/>
    <w:rsid w:val="001B2E9E"/>
    <w:rsid w:val="001F65C4"/>
    <w:rsid w:val="002149AA"/>
    <w:rsid w:val="00235360"/>
    <w:rsid w:val="00256615"/>
    <w:rsid w:val="0026071C"/>
    <w:rsid w:val="00263816"/>
    <w:rsid w:val="00271943"/>
    <w:rsid w:val="002A1AC3"/>
    <w:rsid w:val="002C713D"/>
    <w:rsid w:val="002D7815"/>
    <w:rsid w:val="002E0201"/>
    <w:rsid w:val="003124AA"/>
    <w:rsid w:val="00373FFC"/>
    <w:rsid w:val="003A13BF"/>
    <w:rsid w:val="003C04E6"/>
    <w:rsid w:val="00404C40"/>
    <w:rsid w:val="00421F9D"/>
    <w:rsid w:val="00434EAA"/>
    <w:rsid w:val="00472B14"/>
    <w:rsid w:val="004747B8"/>
    <w:rsid w:val="00476C4E"/>
    <w:rsid w:val="004A0FA0"/>
    <w:rsid w:val="004B1C90"/>
    <w:rsid w:val="004C3C54"/>
    <w:rsid w:val="004C406A"/>
    <w:rsid w:val="004F26C8"/>
    <w:rsid w:val="00524BC9"/>
    <w:rsid w:val="005363C5"/>
    <w:rsid w:val="00590A8C"/>
    <w:rsid w:val="005B0D05"/>
    <w:rsid w:val="005F7838"/>
    <w:rsid w:val="006168B7"/>
    <w:rsid w:val="006422E0"/>
    <w:rsid w:val="00662CB2"/>
    <w:rsid w:val="00672038"/>
    <w:rsid w:val="00674B9D"/>
    <w:rsid w:val="00674D35"/>
    <w:rsid w:val="006810EA"/>
    <w:rsid w:val="006844B0"/>
    <w:rsid w:val="00696810"/>
    <w:rsid w:val="006A26DD"/>
    <w:rsid w:val="006B368A"/>
    <w:rsid w:val="006C23D9"/>
    <w:rsid w:val="006C6B21"/>
    <w:rsid w:val="007036A2"/>
    <w:rsid w:val="007432C7"/>
    <w:rsid w:val="007434E8"/>
    <w:rsid w:val="0078501D"/>
    <w:rsid w:val="00792575"/>
    <w:rsid w:val="007A4CE8"/>
    <w:rsid w:val="007D0982"/>
    <w:rsid w:val="007D12C4"/>
    <w:rsid w:val="008230EF"/>
    <w:rsid w:val="00847862"/>
    <w:rsid w:val="0085477E"/>
    <w:rsid w:val="008556F6"/>
    <w:rsid w:val="00860004"/>
    <w:rsid w:val="00886D32"/>
    <w:rsid w:val="008B51C2"/>
    <w:rsid w:val="008D0478"/>
    <w:rsid w:val="009122BA"/>
    <w:rsid w:val="00933836"/>
    <w:rsid w:val="00943527"/>
    <w:rsid w:val="00943FDF"/>
    <w:rsid w:val="00944D2C"/>
    <w:rsid w:val="009454B6"/>
    <w:rsid w:val="00961DD9"/>
    <w:rsid w:val="00993432"/>
    <w:rsid w:val="009B1B4B"/>
    <w:rsid w:val="009B2E10"/>
    <w:rsid w:val="00A10692"/>
    <w:rsid w:val="00A359EE"/>
    <w:rsid w:val="00A371C2"/>
    <w:rsid w:val="00A526E1"/>
    <w:rsid w:val="00A61A08"/>
    <w:rsid w:val="00AA4B7D"/>
    <w:rsid w:val="00AC4DE1"/>
    <w:rsid w:val="00AE62F2"/>
    <w:rsid w:val="00AF3363"/>
    <w:rsid w:val="00B3351F"/>
    <w:rsid w:val="00B53C8D"/>
    <w:rsid w:val="00B74F43"/>
    <w:rsid w:val="00B7742B"/>
    <w:rsid w:val="00BB2013"/>
    <w:rsid w:val="00BE1EBA"/>
    <w:rsid w:val="00BE49BC"/>
    <w:rsid w:val="00C1191D"/>
    <w:rsid w:val="00C37CED"/>
    <w:rsid w:val="00C87FBE"/>
    <w:rsid w:val="00CA2A20"/>
    <w:rsid w:val="00CE1534"/>
    <w:rsid w:val="00CE1BFC"/>
    <w:rsid w:val="00D14979"/>
    <w:rsid w:val="00D424F2"/>
    <w:rsid w:val="00D44921"/>
    <w:rsid w:val="00D74BAF"/>
    <w:rsid w:val="00D90DF5"/>
    <w:rsid w:val="00DA567F"/>
    <w:rsid w:val="00DB0820"/>
    <w:rsid w:val="00DF0A73"/>
    <w:rsid w:val="00DF26A4"/>
    <w:rsid w:val="00E508EC"/>
    <w:rsid w:val="00E633DC"/>
    <w:rsid w:val="00EB05A7"/>
    <w:rsid w:val="00EB2469"/>
    <w:rsid w:val="00EB317D"/>
    <w:rsid w:val="00EC0BDF"/>
    <w:rsid w:val="00ED2BCC"/>
    <w:rsid w:val="00EF4581"/>
    <w:rsid w:val="00F04837"/>
    <w:rsid w:val="00F12BAB"/>
    <w:rsid w:val="00F52E0F"/>
    <w:rsid w:val="00F53C81"/>
    <w:rsid w:val="00F77553"/>
    <w:rsid w:val="00F926E6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921"/>
  </w:style>
  <w:style w:type="paragraph" w:styleId="a3">
    <w:name w:val="List Paragraph"/>
    <w:basedOn w:val="a"/>
    <w:uiPriority w:val="34"/>
    <w:qFormat/>
    <w:rsid w:val="00D4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921"/>
  </w:style>
  <w:style w:type="paragraph" w:styleId="a3">
    <w:name w:val="List Paragraph"/>
    <w:basedOn w:val="a"/>
    <w:uiPriority w:val="34"/>
    <w:qFormat/>
    <w:rsid w:val="00D4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98EF-108C-4C9F-ADEF-0A9B0C4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8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106</cp:revision>
  <cp:lastPrinted>2016-03-28T06:58:00Z</cp:lastPrinted>
  <dcterms:created xsi:type="dcterms:W3CDTF">2015-03-02T13:53:00Z</dcterms:created>
  <dcterms:modified xsi:type="dcterms:W3CDTF">2016-03-29T07:11:00Z</dcterms:modified>
</cp:coreProperties>
</file>